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1" w:rsidRPr="00193F9F" w:rsidRDefault="00902271" w:rsidP="004001C7">
      <w:pPr>
        <w:ind w:left="567" w:right="-2"/>
        <w:jc w:val="center"/>
        <w:rPr>
          <w:rFonts w:ascii="Bookman Old Style" w:hAnsi="Bookman Old Style"/>
          <w:sz w:val="19"/>
          <w:szCs w:val="19"/>
        </w:rPr>
      </w:pPr>
    </w:p>
    <w:p w:rsidR="005019B2" w:rsidRPr="00193F9F" w:rsidRDefault="005019B2" w:rsidP="004001C7">
      <w:pPr>
        <w:ind w:left="567" w:right="-2"/>
        <w:jc w:val="center"/>
        <w:rPr>
          <w:rFonts w:ascii="Bookman Old Style" w:hAnsi="Bookman Old Style"/>
          <w:sz w:val="19"/>
          <w:szCs w:val="19"/>
        </w:rPr>
      </w:pPr>
    </w:p>
    <w:p w:rsidR="00902271" w:rsidRPr="00FE03E7" w:rsidRDefault="00E6156C" w:rsidP="004001C7">
      <w:pPr>
        <w:ind w:left="567" w:right="-2"/>
        <w:jc w:val="center"/>
        <w:rPr>
          <w:rFonts w:ascii="Bookman Old Style" w:hAnsi="Bookman Old Style"/>
          <w:b/>
          <w:sz w:val="19"/>
          <w:szCs w:val="19"/>
          <w:u w:val="single"/>
        </w:rPr>
      </w:pPr>
      <w:r w:rsidRPr="00FE03E7">
        <w:rPr>
          <w:rFonts w:ascii="Bookman Old Style" w:hAnsi="Bookman Old Style"/>
          <w:b/>
          <w:sz w:val="19"/>
          <w:szCs w:val="19"/>
          <w:u w:val="single"/>
        </w:rPr>
        <w:t xml:space="preserve">LEI MUNICIPAL Nº 4.977, de 27 de outubro de </w:t>
      </w:r>
      <w:proofErr w:type="gramStart"/>
      <w:r w:rsidRPr="00FE03E7">
        <w:rPr>
          <w:rFonts w:ascii="Bookman Old Style" w:hAnsi="Bookman Old Style"/>
          <w:b/>
          <w:sz w:val="19"/>
          <w:szCs w:val="19"/>
          <w:u w:val="single"/>
        </w:rPr>
        <w:t>2015</w:t>
      </w:r>
      <w:proofErr w:type="gramEnd"/>
    </w:p>
    <w:p w:rsidR="00902271" w:rsidRDefault="00902271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4801A7" w:rsidRPr="004801A7" w:rsidRDefault="004801A7" w:rsidP="004801A7">
      <w:pPr>
        <w:ind w:left="567" w:right="-2"/>
        <w:jc w:val="center"/>
        <w:rPr>
          <w:rFonts w:ascii="Bookman Old Style" w:hAnsi="Bookman Old Style"/>
          <w:sz w:val="18"/>
          <w:szCs w:val="18"/>
        </w:rPr>
      </w:pPr>
      <w:r w:rsidRPr="004801A7">
        <w:rPr>
          <w:rFonts w:ascii="Bookman Old Style" w:hAnsi="Bookman Old Style"/>
          <w:sz w:val="18"/>
          <w:szCs w:val="18"/>
        </w:rPr>
        <w:t xml:space="preserve">Projeto de autoria do Vereador José Márcio </w:t>
      </w:r>
      <w:proofErr w:type="spellStart"/>
      <w:r w:rsidRPr="004801A7">
        <w:rPr>
          <w:rFonts w:ascii="Bookman Old Style" w:hAnsi="Bookman Old Style"/>
          <w:sz w:val="18"/>
          <w:szCs w:val="18"/>
        </w:rPr>
        <w:t>Franson</w:t>
      </w:r>
      <w:proofErr w:type="spellEnd"/>
    </w:p>
    <w:p w:rsidR="004801A7" w:rsidRDefault="004801A7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193F9F" w:rsidRDefault="00193F9F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B56E68" w:rsidRPr="00FE03E7" w:rsidRDefault="00281D31" w:rsidP="007A7C17">
      <w:pPr>
        <w:ind w:left="4253"/>
        <w:jc w:val="both"/>
        <w:rPr>
          <w:rFonts w:ascii="Bookman Old Style" w:hAnsi="Bookman Old Style"/>
          <w:bCs/>
          <w:iCs/>
          <w:color w:val="000000"/>
          <w:sz w:val="19"/>
          <w:szCs w:val="19"/>
        </w:rPr>
      </w:pP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Proíbe a utilização, mutilação e/ou o sacrifício de animais em rituais religiosos ou de qualquer outra natureza no Município de Tatuí e dá outras providências.</w:t>
      </w:r>
    </w:p>
    <w:p w:rsidR="00902271" w:rsidRDefault="00902271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193F9F" w:rsidRPr="00FE03E7" w:rsidRDefault="00193F9F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902271" w:rsidRPr="00FE03E7" w:rsidRDefault="00902271" w:rsidP="00CC7D83">
      <w:pPr>
        <w:tabs>
          <w:tab w:val="left" w:pos="2268"/>
        </w:tabs>
        <w:ind w:left="567" w:right="-2" w:firstLine="2127"/>
        <w:jc w:val="both"/>
        <w:rPr>
          <w:rFonts w:ascii="Bookman Old Style" w:hAnsi="Bookman Old Style"/>
          <w:sz w:val="19"/>
          <w:szCs w:val="19"/>
        </w:rPr>
      </w:pPr>
      <w:r w:rsidRPr="00FE03E7">
        <w:rPr>
          <w:rFonts w:ascii="Bookman Old Style" w:hAnsi="Bookman Old Style"/>
          <w:b/>
          <w:sz w:val="19"/>
          <w:szCs w:val="19"/>
        </w:rPr>
        <w:t>A CÂMARA MUNICIPAL DE TATUÍ</w:t>
      </w:r>
      <w:r w:rsidRPr="00FE03E7">
        <w:rPr>
          <w:rFonts w:ascii="Bookman Old Style" w:hAnsi="Bookman Old Style"/>
          <w:sz w:val="19"/>
          <w:szCs w:val="19"/>
        </w:rPr>
        <w:t xml:space="preserve"> aprova e eu, Presidente da Câmara, no exercício da competência que me é atribuída pelo artigo 22, inciso IV, c/c o artigo 40, § 6º da Lei Orgânica do Município, promulgo a seguinte Lei:</w:t>
      </w:r>
    </w:p>
    <w:p w:rsidR="00281D31" w:rsidRPr="00FE03E7" w:rsidRDefault="00281D31" w:rsidP="004001C7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567"/>
        <w:jc w:val="both"/>
        <w:rPr>
          <w:rFonts w:ascii="Bookman Old Style" w:hAnsi="Bookman Old Style"/>
          <w:sz w:val="19"/>
          <w:szCs w:val="19"/>
        </w:rPr>
      </w:pPr>
    </w:p>
    <w:p w:rsidR="00281D31" w:rsidRPr="00FE03E7" w:rsidRDefault="00281D31" w:rsidP="00CC7D83">
      <w:pPr>
        <w:ind w:left="567" w:firstLine="2127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Style w:val="textexposedshow"/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Art. 1º</w:t>
      </w:r>
      <w:r w:rsidRPr="00FE03E7"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 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Fica proibida, no Município de Tatuí, a utilização, mutilação e/ou sacrifício de animais em rituais ou cultos, realizados em estabelecimentos fechados e/ou logradouros públicos, que tenham aqueles, finalidade mística, </w:t>
      </w:r>
      <w:proofErr w:type="spellStart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iniciática</w:t>
      </w:r>
      <w:proofErr w:type="spellEnd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, esotérica ou religiosa, assim como em práticas de seitas, religiões ou de congregações de qualquer natureza.</w:t>
      </w:r>
    </w:p>
    <w:p w:rsidR="00281D31" w:rsidRPr="00FE03E7" w:rsidRDefault="00281D31" w:rsidP="004001C7">
      <w:pPr>
        <w:ind w:left="567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</w:p>
    <w:p w:rsidR="00281D31" w:rsidRPr="00FE03E7" w:rsidRDefault="00281D31" w:rsidP="004001C7">
      <w:pPr>
        <w:ind w:left="567" w:firstLine="2124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Style w:val="textexposedshow"/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Art. 2º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 O Poder Executivo aplicará às pessoas e estabelecimentos que incorram em infração ao disposto no artigo 1º, multa no valor de </w:t>
      </w:r>
      <w:r w:rsidRPr="00FE03E7"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  <w:t>1.000 UFESP (Unidade Fiscal do Estado de São Paulo)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, determinando, se necessário, o órgão competente para a fiscalização de seu cumprimento.</w:t>
      </w:r>
    </w:p>
    <w:p w:rsidR="00281D31" w:rsidRDefault="00281D31" w:rsidP="00F5284E">
      <w:pPr>
        <w:ind w:left="2549" w:firstLine="142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Parágrafo único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. Havendo reincidência:</w:t>
      </w:r>
    </w:p>
    <w:p w:rsidR="00F5284E" w:rsidRPr="00F5284E" w:rsidRDefault="00F5284E" w:rsidP="0025756F">
      <w:pPr>
        <w:ind w:left="567"/>
        <w:jc w:val="both"/>
        <w:rPr>
          <w:rFonts w:ascii="Bookman Old Style" w:hAnsi="Bookman Old Style"/>
          <w:color w:val="37404E"/>
          <w:sz w:val="10"/>
          <w:szCs w:val="10"/>
          <w:shd w:val="clear" w:color="auto" w:fill="FFFFFF"/>
        </w:rPr>
      </w:pPr>
    </w:p>
    <w:p w:rsidR="00281D31" w:rsidRDefault="00281D31" w:rsidP="004001C7">
      <w:pPr>
        <w:ind w:left="567" w:firstLine="2124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I -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 Sendo </w:t>
      </w:r>
      <w:proofErr w:type="gramStart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o infrator pessoa física</w:t>
      </w:r>
      <w:proofErr w:type="gramEnd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, o valor da multa terá seu valor duplicado e o processo será encaminhado à Procuradoria do Município para as providências criminais cabíveis, ficando a cargo do Poder Executivo Municipal a determinação das providências a serem tomadas posteriormente à aplicação da multa e cabíveis em cada caso;</w:t>
      </w:r>
    </w:p>
    <w:p w:rsidR="00F5284E" w:rsidRPr="00F5284E" w:rsidRDefault="00F5284E" w:rsidP="0025756F">
      <w:pPr>
        <w:ind w:left="567"/>
        <w:jc w:val="both"/>
        <w:rPr>
          <w:rFonts w:ascii="Bookman Old Style" w:hAnsi="Bookman Old Style"/>
          <w:color w:val="37404E"/>
          <w:sz w:val="10"/>
          <w:szCs w:val="10"/>
          <w:shd w:val="clear" w:color="auto" w:fill="FFFFFF"/>
        </w:rPr>
      </w:pPr>
    </w:p>
    <w:p w:rsidR="00281D31" w:rsidRPr="00FE03E7" w:rsidRDefault="00281D31" w:rsidP="004001C7">
      <w:pPr>
        <w:ind w:left="567" w:firstLine="2127"/>
        <w:jc w:val="both"/>
        <w:rPr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 xml:space="preserve">II </w:t>
      </w:r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- Sendo </w:t>
      </w:r>
      <w:proofErr w:type="gramStart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o infrator pessoa jurídica</w:t>
      </w:r>
      <w:proofErr w:type="gramEnd"/>
      <w:r w:rsidRPr="00FE03E7">
        <w:rPr>
          <w:rFonts w:ascii="Bookman Old Style" w:hAnsi="Bookman Old Style"/>
          <w:color w:val="37404E"/>
          <w:sz w:val="19"/>
          <w:szCs w:val="19"/>
          <w:shd w:val="clear" w:color="auto" w:fill="FFFFFF"/>
        </w:rPr>
        <w:t>, o valor da multa será aplicado por cabeça de animal submetido aos rituais, procedendo-se à cassação do Alvará de Funcionamento do Estabelecimento.</w:t>
      </w:r>
    </w:p>
    <w:p w:rsidR="00281D31" w:rsidRPr="00096A10" w:rsidRDefault="00281D31" w:rsidP="0025756F">
      <w:pPr>
        <w:ind w:left="567"/>
        <w:jc w:val="both"/>
        <w:rPr>
          <w:rFonts w:ascii="Bookman Old Style" w:hAnsi="Bookman Old Style"/>
          <w:color w:val="37404E"/>
          <w:sz w:val="14"/>
          <w:szCs w:val="14"/>
          <w:shd w:val="clear" w:color="auto" w:fill="FFFFFF"/>
        </w:rPr>
      </w:pPr>
    </w:p>
    <w:p w:rsidR="00281D31" w:rsidRPr="00FE03E7" w:rsidRDefault="00281D31" w:rsidP="004001C7">
      <w:pPr>
        <w:ind w:left="567" w:firstLine="2127"/>
        <w:jc w:val="both"/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Style w:val="textexposedshow"/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Art. 3º</w:t>
      </w:r>
      <w:r w:rsidRPr="00FE03E7"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 As despesas decorrentes com a aplicação desta lei, correrão à conta de dotações orçamentárias próprias, suplementadas se necessário.</w:t>
      </w:r>
    </w:p>
    <w:p w:rsidR="00281D31" w:rsidRPr="00096A10" w:rsidRDefault="00281D31" w:rsidP="0025756F">
      <w:pPr>
        <w:ind w:left="567"/>
        <w:jc w:val="both"/>
        <w:rPr>
          <w:rStyle w:val="textexposedshow"/>
          <w:rFonts w:ascii="Bookman Old Style" w:hAnsi="Bookman Old Style"/>
          <w:color w:val="37404E"/>
          <w:sz w:val="14"/>
          <w:szCs w:val="14"/>
          <w:shd w:val="clear" w:color="auto" w:fill="FFFFFF"/>
        </w:rPr>
      </w:pPr>
    </w:p>
    <w:p w:rsidR="00281D31" w:rsidRPr="00FE03E7" w:rsidRDefault="00281D31" w:rsidP="004001C7">
      <w:pPr>
        <w:ind w:left="567" w:firstLine="2127"/>
        <w:jc w:val="both"/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</w:pPr>
      <w:r w:rsidRPr="00FE03E7">
        <w:rPr>
          <w:rStyle w:val="textexposedshow"/>
          <w:rFonts w:ascii="Bookman Old Style" w:hAnsi="Bookman Old Style"/>
          <w:b/>
          <w:color w:val="37404E"/>
          <w:sz w:val="19"/>
          <w:szCs w:val="19"/>
          <w:shd w:val="clear" w:color="auto" w:fill="FFFFFF"/>
        </w:rPr>
        <w:t>Art. 4º</w:t>
      </w:r>
      <w:r w:rsidRPr="00FE03E7">
        <w:rPr>
          <w:rStyle w:val="textexposedshow"/>
          <w:rFonts w:ascii="Bookman Old Style" w:hAnsi="Bookman Old Style"/>
          <w:color w:val="37404E"/>
          <w:sz w:val="19"/>
          <w:szCs w:val="19"/>
          <w:shd w:val="clear" w:color="auto" w:fill="FFFFFF"/>
        </w:rPr>
        <w:t xml:space="preserve"> Esta Lei entra em vigor na data de sua publicação, revogada as disposições em contrário.</w:t>
      </w:r>
    </w:p>
    <w:p w:rsidR="00281D31" w:rsidRPr="0025756F" w:rsidRDefault="00281D31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281D31" w:rsidRPr="00FE03E7" w:rsidRDefault="00281D31" w:rsidP="004001C7">
      <w:pPr>
        <w:ind w:left="567" w:right="-2"/>
        <w:rPr>
          <w:rFonts w:ascii="Bookman Old Style" w:hAnsi="Bookman Old Style"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="0014446F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  <w:t>Tatuí, 27 de outubro de 2015.</w:t>
      </w:r>
    </w:p>
    <w:p w:rsidR="00902271" w:rsidRPr="0025756F" w:rsidRDefault="00902271" w:rsidP="004001C7">
      <w:pPr>
        <w:ind w:left="567" w:right="-2"/>
        <w:rPr>
          <w:rFonts w:ascii="Bookman Old Style" w:hAnsi="Bookman Old Style"/>
          <w:sz w:val="16"/>
          <w:szCs w:val="16"/>
        </w:rPr>
      </w:pPr>
    </w:p>
    <w:p w:rsidR="00594165" w:rsidRPr="0025756F" w:rsidRDefault="00594165" w:rsidP="004001C7">
      <w:pPr>
        <w:ind w:left="567" w:right="-2"/>
        <w:rPr>
          <w:rFonts w:ascii="Bookman Old Style" w:hAnsi="Bookman Old Style"/>
          <w:sz w:val="16"/>
          <w:szCs w:val="16"/>
        </w:rPr>
      </w:pPr>
    </w:p>
    <w:p w:rsidR="00902271" w:rsidRPr="00FE03E7" w:rsidRDefault="00902271" w:rsidP="004001C7">
      <w:pPr>
        <w:ind w:left="567" w:right="-2"/>
        <w:rPr>
          <w:rFonts w:ascii="Bookman Old Style" w:hAnsi="Bookman Old Style"/>
          <w:b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ab/>
      </w:r>
      <w:r w:rsidR="0014446F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b/>
          <w:sz w:val="19"/>
          <w:szCs w:val="19"/>
        </w:rPr>
        <w:t>O PRESIDENTE DA CÂMARA</w:t>
      </w:r>
    </w:p>
    <w:p w:rsidR="00902271" w:rsidRPr="00FE03E7" w:rsidRDefault="00902271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902271" w:rsidRDefault="00902271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14446F" w:rsidRPr="00FE03E7" w:rsidRDefault="0014446F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902271" w:rsidRPr="00FE03E7" w:rsidRDefault="00902271" w:rsidP="004001C7">
      <w:pPr>
        <w:ind w:left="567" w:right="-2"/>
        <w:rPr>
          <w:rFonts w:ascii="Bookman Old Style" w:hAnsi="Bookman Old Style"/>
          <w:b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ab/>
      </w:r>
      <w:r w:rsidR="0014446F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proofErr w:type="spellStart"/>
      <w:r w:rsidR="00594165" w:rsidRPr="00FE03E7">
        <w:rPr>
          <w:rFonts w:ascii="Bookman Old Style" w:hAnsi="Bookman Old Style"/>
          <w:b/>
          <w:sz w:val="19"/>
          <w:szCs w:val="19"/>
        </w:rPr>
        <w:t>Wladmir</w:t>
      </w:r>
      <w:proofErr w:type="spellEnd"/>
      <w:r w:rsidR="00594165" w:rsidRPr="00FE03E7">
        <w:rPr>
          <w:rFonts w:ascii="Bookman Old Style" w:hAnsi="Bookman Old Style"/>
          <w:b/>
          <w:sz w:val="19"/>
          <w:szCs w:val="19"/>
        </w:rPr>
        <w:t xml:space="preserve"> Faustino </w:t>
      </w:r>
      <w:proofErr w:type="spellStart"/>
      <w:r w:rsidR="00594165" w:rsidRPr="00FE03E7">
        <w:rPr>
          <w:rFonts w:ascii="Bookman Old Style" w:hAnsi="Bookman Old Style"/>
          <w:b/>
          <w:sz w:val="19"/>
          <w:szCs w:val="19"/>
        </w:rPr>
        <w:t>Saporito</w:t>
      </w:r>
      <w:proofErr w:type="spellEnd"/>
    </w:p>
    <w:p w:rsidR="005019B2" w:rsidRPr="0025756F" w:rsidRDefault="005019B2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EF0394" w:rsidRPr="0025756F" w:rsidRDefault="00EF0394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EF0394" w:rsidRPr="0025756F" w:rsidRDefault="00EF0394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14446F" w:rsidRPr="0025756F" w:rsidRDefault="0014446F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EF0394" w:rsidRPr="0025756F" w:rsidRDefault="00EF0394" w:rsidP="004001C7">
      <w:pPr>
        <w:ind w:left="567" w:right="-2"/>
        <w:rPr>
          <w:rFonts w:ascii="Bookman Old Style" w:hAnsi="Bookman Old Style"/>
          <w:sz w:val="18"/>
          <w:szCs w:val="18"/>
        </w:rPr>
      </w:pPr>
    </w:p>
    <w:p w:rsidR="00902271" w:rsidRPr="00FE03E7" w:rsidRDefault="00902271" w:rsidP="004001C7">
      <w:pPr>
        <w:ind w:left="567" w:right="-2"/>
        <w:jc w:val="both"/>
        <w:rPr>
          <w:rFonts w:ascii="Bookman Old Style" w:hAnsi="Bookman Old Style"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>Publicada no Departamento de Administração da Câmara Municipal na data supra e encaminhada p</w:t>
      </w:r>
      <w:r w:rsidR="00E6156C" w:rsidRPr="00FE03E7">
        <w:rPr>
          <w:rFonts w:ascii="Bookman Old Style" w:hAnsi="Bookman Old Style"/>
          <w:sz w:val="19"/>
          <w:szCs w:val="19"/>
        </w:rPr>
        <w:t>ara publicação na Imprensa</w:t>
      </w:r>
      <w:r w:rsidRPr="00FE03E7">
        <w:rPr>
          <w:rFonts w:ascii="Bookman Old Style" w:hAnsi="Bookman Old Style"/>
          <w:sz w:val="19"/>
          <w:szCs w:val="19"/>
        </w:rPr>
        <w:t>, na forma da Lei.</w:t>
      </w:r>
    </w:p>
    <w:p w:rsidR="00902271" w:rsidRPr="00FE03E7" w:rsidRDefault="00902271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766F30" w:rsidRPr="00FE03E7" w:rsidRDefault="00766F30" w:rsidP="004001C7">
      <w:pPr>
        <w:ind w:left="567" w:right="-2"/>
        <w:rPr>
          <w:rFonts w:ascii="Bookman Old Style" w:hAnsi="Bookman Old Style"/>
          <w:sz w:val="19"/>
          <w:szCs w:val="19"/>
        </w:rPr>
      </w:pPr>
    </w:p>
    <w:p w:rsidR="00902271" w:rsidRPr="00FE03E7" w:rsidRDefault="00902271" w:rsidP="00193F9F">
      <w:pPr>
        <w:ind w:left="567" w:right="-2"/>
        <w:jc w:val="right"/>
        <w:rPr>
          <w:rFonts w:ascii="Bookman Old Style" w:hAnsi="Bookman Old Style"/>
          <w:b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="00EF0394">
        <w:rPr>
          <w:rFonts w:ascii="Bookman Old Style" w:hAnsi="Bookman Old Style"/>
          <w:sz w:val="19"/>
          <w:szCs w:val="19"/>
        </w:rPr>
        <w:tab/>
      </w:r>
      <w:r w:rsidR="00EF0394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b/>
          <w:sz w:val="19"/>
          <w:szCs w:val="19"/>
        </w:rPr>
        <w:t>Adilson Fernando dos Santos</w:t>
      </w:r>
    </w:p>
    <w:p w:rsidR="00594165" w:rsidRPr="00FE03E7" w:rsidRDefault="0069762F" w:rsidP="004001C7">
      <w:pPr>
        <w:ind w:left="567" w:right="-2"/>
        <w:rPr>
          <w:rFonts w:ascii="Bookman Old Style" w:hAnsi="Bookman Old Style"/>
          <w:sz w:val="19"/>
          <w:szCs w:val="19"/>
        </w:rPr>
      </w:pPr>
      <w:r w:rsidRPr="00FE03E7">
        <w:rPr>
          <w:rFonts w:ascii="Bookman Old Style" w:hAnsi="Bookman Old Style"/>
          <w:sz w:val="19"/>
          <w:szCs w:val="19"/>
        </w:rPr>
        <w:tab/>
      </w:r>
      <w:r w:rsidRPr="00FE03E7">
        <w:rPr>
          <w:rFonts w:ascii="Bookman Old Style" w:hAnsi="Bookman Old Style"/>
          <w:sz w:val="19"/>
          <w:szCs w:val="19"/>
        </w:rPr>
        <w:tab/>
      </w:r>
      <w:r w:rsidR="00EF0394">
        <w:rPr>
          <w:rFonts w:ascii="Bookman Old Style" w:hAnsi="Bookman Old Style"/>
          <w:sz w:val="19"/>
          <w:szCs w:val="19"/>
        </w:rPr>
        <w:tab/>
      </w:r>
      <w:r w:rsidR="00EF0394">
        <w:rPr>
          <w:rFonts w:ascii="Bookman Old Style" w:hAnsi="Bookman Old Style"/>
          <w:sz w:val="19"/>
          <w:szCs w:val="19"/>
        </w:rPr>
        <w:tab/>
      </w:r>
      <w:r w:rsidR="00EF0394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</w:r>
      <w:r w:rsidR="00193F9F">
        <w:rPr>
          <w:rFonts w:ascii="Bookman Old Style" w:hAnsi="Bookman Old Style"/>
          <w:sz w:val="19"/>
          <w:szCs w:val="19"/>
        </w:rPr>
        <w:tab/>
        <w:t xml:space="preserve"> </w:t>
      </w:r>
      <w:r w:rsidR="00902271" w:rsidRPr="00FE03E7">
        <w:rPr>
          <w:rFonts w:ascii="Bookman Old Style" w:hAnsi="Bookman Old Style"/>
          <w:sz w:val="19"/>
          <w:szCs w:val="19"/>
        </w:rPr>
        <w:t>Diretor Geral Administrativo</w:t>
      </w:r>
    </w:p>
    <w:sectPr w:rsidR="00594165" w:rsidRPr="00FE03E7" w:rsidSect="000E7969">
      <w:headerReference w:type="default" r:id="rId7"/>
      <w:footerReference w:type="default" r:id="rId8"/>
      <w:pgSz w:w="11906" w:h="16838"/>
      <w:pgMar w:top="1134" w:right="851" w:bottom="567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FC" w:rsidRDefault="005961FC">
      <w:r>
        <w:separator/>
      </w:r>
    </w:p>
  </w:endnote>
  <w:endnote w:type="continuationSeparator" w:id="0">
    <w:p w:rsidR="005961FC" w:rsidRDefault="0059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E8" w:rsidRPr="0054088D" w:rsidRDefault="00566BE8" w:rsidP="0054088D">
    <w:pPr>
      <w:pStyle w:val="Rodap"/>
      <w:jc w:val="center"/>
      <w:rPr>
        <w:rFonts w:ascii="Monotype Corsiva" w:hAnsi="Monotype Corsiva"/>
      </w:rPr>
    </w:pPr>
    <w:r>
      <w:rPr>
        <w:rFonts w:ascii="Monotype Corsiva" w:hAnsi="Monotype Corsiva"/>
      </w:rPr>
      <w:t>“Tatuí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FC" w:rsidRDefault="005961FC">
      <w:r>
        <w:separator/>
      </w:r>
    </w:p>
  </w:footnote>
  <w:footnote w:type="continuationSeparator" w:id="0">
    <w:p w:rsidR="005961FC" w:rsidRDefault="0059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E8" w:rsidRPr="002C6F1F" w:rsidRDefault="00774272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566BE8" w:rsidRDefault="00AC6426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66BE8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566BE8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566BE8" w:rsidRPr="002C6F1F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566BE8" w:rsidRPr="002C6F1F" w:rsidRDefault="00566BE8" w:rsidP="00D139E1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566BE8" w:rsidRPr="002C6F1F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>
      <w:rPr>
        <w:rFonts w:ascii="Monotype Corsiva" w:hAnsi="Monotype Corsiva"/>
      </w:rPr>
      <w:t>540</w:t>
    </w:r>
  </w:p>
  <w:p w:rsidR="00566BE8" w:rsidRPr="002C6F1F" w:rsidRDefault="00566BE8" w:rsidP="00D139E1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632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623"/>
    <w:rsid w:val="000052C1"/>
    <w:rsid w:val="00016C27"/>
    <w:rsid w:val="00020E87"/>
    <w:rsid w:val="00022C2C"/>
    <w:rsid w:val="000235AE"/>
    <w:rsid w:val="00054E66"/>
    <w:rsid w:val="00055F2B"/>
    <w:rsid w:val="00064623"/>
    <w:rsid w:val="000668BB"/>
    <w:rsid w:val="00076493"/>
    <w:rsid w:val="000866CE"/>
    <w:rsid w:val="00086B43"/>
    <w:rsid w:val="00086BD2"/>
    <w:rsid w:val="000913D6"/>
    <w:rsid w:val="00096A10"/>
    <w:rsid w:val="000A624D"/>
    <w:rsid w:val="000B4D14"/>
    <w:rsid w:val="000B5067"/>
    <w:rsid w:val="000C03E7"/>
    <w:rsid w:val="000C06B6"/>
    <w:rsid w:val="000C4956"/>
    <w:rsid w:val="000C58CB"/>
    <w:rsid w:val="000D62D3"/>
    <w:rsid w:val="000E6372"/>
    <w:rsid w:val="000E7969"/>
    <w:rsid w:val="000F1EE4"/>
    <w:rsid w:val="00120E32"/>
    <w:rsid w:val="00122441"/>
    <w:rsid w:val="00124EF0"/>
    <w:rsid w:val="00144452"/>
    <w:rsid w:val="0014446F"/>
    <w:rsid w:val="001709FD"/>
    <w:rsid w:val="001724E7"/>
    <w:rsid w:val="001819DE"/>
    <w:rsid w:val="00183E51"/>
    <w:rsid w:val="001855F7"/>
    <w:rsid w:val="001864FE"/>
    <w:rsid w:val="00186618"/>
    <w:rsid w:val="00193F9F"/>
    <w:rsid w:val="0019455B"/>
    <w:rsid w:val="00195BC6"/>
    <w:rsid w:val="001A4C8F"/>
    <w:rsid w:val="001A6AE3"/>
    <w:rsid w:val="001B360B"/>
    <w:rsid w:val="001B607F"/>
    <w:rsid w:val="001B7CB8"/>
    <w:rsid w:val="001D42D6"/>
    <w:rsid w:val="001D59F4"/>
    <w:rsid w:val="001F0764"/>
    <w:rsid w:val="001F7971"/>
    <w:rsid w:val="001F7A59"/>
    <w:rsid w:val="002132E2"/>
    <w:rsid w:val="00216FEE"/>
    <w:rsid w:val="002234BF"/>
    <w:rsid w:val="00223785"/>
    <w:rsid w:val="00231927"/>
    <w:rsid w:val="0023413E"/>
    <w:rsid w:val="002420F1"/>
    <w:rsid w:val="00247504"/>
    <w:rsid w:val="00256F1A"/>
    <w:rsid w:val="0025739E"/>
    <w:rsid w:val="0025756F"/>
    <w:rsid w:val="002708CE"/>
    <w:rsid w:val="00281D31"/>
    <w:rsid w:val="00291CA1"/>
    <w:rsid w:val="00292C38"/>
    <w:rsid w:val="00295918"/>
    <w:rsid w:val="002960BF"/>
    <w:rsid w:val="002A637A"/>
    <w:rsid w:val="002A7025"/>
    <w:rsid w:val="002B1C85"/>
    <w:rsid w:val="002B621B"/>
    <w:rsid w:val="002C61D1"/>
    <w:rsid w:val="002C6F1F"/>
    <w:rsid w:val="002C78E7"/>
    <w:rsid w:val="002E1225"/>
    <w:rsid w:val="002E2C27"/>
    <w:rsid w:val="002E6D0F"/>
    <w:rsid w:val="002F3190"/>
    <w:rsid w:val="00320352"/>
    <w:rsid w:val="003211DF"/>
    <w:rsid w:val="00322249"/>
    <w:rsid w:val="0032499F"/>
    <w:rsid w:val="0033502E"/>
    <w:rsid w:val="003543BB"/>
    <w:rsid w:val="003626AA"/>
    <w:rsid w:val="003804EF"/>
    <w:rsid w:val="0038402E"/>
    <w:rsid w:val="003A39EA"/>
    <w:rsid w:val="003C2311"/>
    <w:rsid w:val="003D4111"/>
    <w:rsid w:val="003E413C"/>
    <w:rsid w:val="003F16F3"/>
    <w:rsid w:val="003F1B11"/>
    <w:rsid w:val="003F4828"/>
    <w:rsid w:val="004001C7"/>
    <w:rsid w:val="00401555"/>
    <w:rsid w:val="00411CD4"/>
    <w:rsid w:val="00416A29"/>
    <w:rsid w:val="0042441D"/>
    <w:rsid w:val="004275DD"/>
    <w:rsid w:val="00431469"/>
    <w:rsid w:val="00436D14"/>
    <w:rsid w:val="004416FF"/>
    <w:rsid w:val="00447BAA"/>
    <w:rsid w:val="004517E0"/>
    <w:rsid w:val="00480072"/>
    <w:rsid w:val="004801A7"/>
    <w:rsid w:val="00487AB9"/>
    <w:rsid w:val="0049301E"/>
    <w:rsid w:val="004A1103"/>
    <w:rsid w:val="004A17D8"/>
    <w:rsid w:val="004B0F4D"/>
    <w:rsid w:val="004B2CA2"/>
    <w:rsid w:val="004B5E5F"/>
    <w:rsid w:val="004B77BB"/>
    <w:rsid w:val="005019B2"/>
    <w:rsid w:val="00506039"/>
    <w:rsid w:val="0051108C"/>
    <w:rsid w:val="00512DCD"/>
    <w:rsid w:val="0052466B"/>
    <w:rsid w:val="0054088D"/>
    <w:rsid w:val="00560B16"/>
    <w:rsid w:val="00566BE8"/>
    <w:rsid w:val="00567B53"/>
    <w:rsid w:val="00570B3B"/>
    <w:rsid w:val="005873AF"/>
    <w:rsid w:val="00591893"/>
    <w:rsid w:val="00594165"/>
    <w:rsid w:val="005961FC"/>
    <w:rsid w:val="005C64B1"/>
    <w:rsid w:val="005C73CD"/>
    <w:rsid w:val="005D2C33"/>
    <w:rsid w:val="005D37F7"/>
    <w:rsid w:val="005D6D5A"/>
    <w:rsid w:val="005F39AA"/>
    <w:rsid w:val="006069F2"/>
    <w:rsid w:val="006116C4"/>
    <w:rsid w:val="006166AF"/>
    <w:rsid w:val="006210C2"/>
    <w:rsid w:val="00621417"/>
    <w:rsid w:val="00632861"/>
    <w:rsid w:val="006445CF"/>
    <w:rsid w:val="00651F25"/>
    <w:rsid w:val="006944FB"/>
    <w:rsid w:val="0069762F"/>
    <w:rsid w:val="006B148E"/>
    <w:rsid w:val="006B3281"/>
    <w:rsid w:val="006D2B66"/>
    <w:rsid w:val="006E087C"/>
    <w:rsid w:val="006F54DE"/>
    <w:rsid w:val="007103C1"/>
    <w:rsid w:val="00712C3A"/>
    <w:rsid w:val="00720854"/>
    <w:rsid w:val="00721588"/>
    <w:rsid w:val="0074718F"/>
    <w:rsid w:val="0076533C"/>
    <w:rsid w:val="00766F30"/>
    <w:rsid w:val="00774272"/>
    <w:rsid w:val="00775758"/>
    <w:rsid w:val="00775A16"/>
    <w:rsid w:val="00780299"/>
    <w:rsid w:val="007900B9"/>
    <w:rsid w:val="007A6484"/>
    <w:rsid w:val="007A6C1F"/>
    <w:rsid w:val="007A7C17"/>
    <w:rsid w:val="007B12AD"/>
    <w:rsid w:val="007B2B9C"/>
    <w:rsid w:val="007B2E72"/>
    <w:rsid w:val="007B400F"/>
    <w:rsid w:val="007D70AA"/>
    <w:rsid w:val="007E2F16"/>
    <w:rsid w:val="007F1ACF"/>
    <w:rsid w:val="0080079D"/>
    <w:rsid w:val="00805983"/>
    <w:rsid w:val="00854F36"/>
    <w:rsid w:val="0086170C"/>
    <w:rsid w:val="00865BA9"/>
    <w:rsid w:val="008849E3"/>
    <w:rsid w:val="00896D71"/>
    <w:rsid w:val="008A19DA"/>
    <w:rsid w:val="008B0DD4"/>
    <w:rsid w:val="008B0E97"/>
    <w:rsid w:val="008B39CD"/>
    <w:rsid w:val="008B6F36"/>
    <w:rsid w:val="008C234C"/>
    <w:rsid w:val="008C7F5F"/>
    <w:rsid w:val="008E0416"/>
    <w:rsid w:val="008F0881"/>
    <w:rsid w:val="008F25A4"/>
    <w:rsid w:val="00902271"/>
    <w:rsid w:val="0090770F"/>
    <w:rsid w:val="009155D4"/>
    <w:rsid w:val="00925E52"/>
    <w:rsid w:val="0092616A"/>
    <w:rsid w:val="00942D4D"/>
    <w:rsid w:val="0098598D"/>
    <w:rsid w:val="009912D1"/>
    <w:rsid w:val="00993FA7"/>
    <w:rsid w:val="00996BEE"/>
    <w:rsid w:val="009F560E"/>
    <w:rsid w:val="00A04398"/>
    <w:rsid w:val="00A060B8"/>
    <w:rsid w:val="00A12204"/>
    <w:rsid w:val="00A136B5"/>
    <w:rsid w:val="00A164E3"/>
    <w:rsid w:val="00A208D2"/>
    <w:rsid w:val="00A25FCE"/>
    <w:rsid w:val="00A264FA"/>
    <w:rsid w:val="00A265B4"/>
    <w:rsid w:val="00A321C9"/>
    <w:rsid w:val="00A42CFC"/>
    <w:rsid w:val="00A61E58"/>
    <w:rsid w:val="00A65021"/>
    <w:rsid w:val="00A73956"/>
    <w:rsid w:val="00A86E13"/>
    <w:rsid w:val="00A87E9E"/>
    <w:rsid w:val="00AA1129"/>
    <w:rsid w:val="00AA4F19"/>
    <w:rsid w:val="00AC02B6"/>
    <w:rsid w:val="00AC1179"/>
    <w:rsid w:val="00AC1708"/>
    <w:rsid w:val="00AC6426"/>
    <w:rsid w:val="00AD59C9"/>
    <w:rsid w:val="00AD718A"/>
    <w:rsid w:val="00AE6171"/>
    <w:rsid w:val="00AE7A3C"/>
    <w:rsid w:val="00B5197F"/>
    <w:rsid w:val="00B53FF6"/>
    <w:rsid w:val="00B56E68"/>
    <w:rsid w:val="00B57BB2"/>
    <w:rsid w:val="00B60441"/>
    <w:rsid w:val="00B710D7"/>
    <w:rsid w:val="00B75E8F"/>
    <w:rsid w:val="00B87154"/>
    <w:rsid w:val="00B87B4A"/>
    <w:rsid w:val="00B9054A"/>
    <w:rsid w:val="00B964BB"/>
    <w:rsid w:val="00BB3747"/>
    <w:rsid w:val="00BC11CF"/>
    <w:rsid w:val="00BE1ABE"/>
    <w:rsid w:val="00BF4A8B"/>
    <w:rsid w:val="00C13113"/>
    <w:rsid w:val="00C15D7A"/>
    <w:rsid w:val="00C304B6"/>
    <w:rsid w:val="00C405A4"/>
    <w:rsid w:val="00C50B97"/>
    <w:rsid w:val="00C71BCB"/>
    <w:rsid w:val="00C734B6"/>
    <w:rsid w:val="00CB17FA"/>
    <w:rsid w:val="00CC7D83"/>
    <w:rsid w:val="00CE0DBF"/>
    <w:rsid w:val="00CE7133"/>
    <w:rsid w:val="00CF1579"/>
    <w:rsid w:val="00D139E1"/>
    <w:rsid w:val="00D13AF7"/>
    <w:rsid w:val="00D148BD"/>
    <w:rsid w:val="00D168E5"/>
    <w:rsid w:val="00D21339"/>
    <w:rsid w:val="00D218BC"/>
    <w:rsid w:val="00D343FC"/>
    <w:rsid w:val="00D35FF2"/>
    <w:rsid w:val="00D44D78"/>
    <w:rsid w:val="00D5109E"/>
    <w:rsid w:val="00D52C8C"/>
    <w:rsid w:val="00D63744"/>
    <w:rsid w:val="00D859B3"/>
    <w:rsid w:val="00D939B5"/>
    <w:rsid w:val="00DC105B"/>
    <w:rsid w:val="00DC205F"/>
    <w:rsid w:val="00DD751B"/>
    <w:rsid w:val="00DF43E4"/>
    <w:rsid w:val="00DF4439"/>
    <w:rsid w:val="00DF6086"/>
    <w:rsid w:val="00E26EAB"/>
    <w:rsid w:val="00E32AD7"/>
    <w:rsid w:val="00E56093"/>
    <w:rsid w:val="00E6156C"/>
    <w:rsid w:val="00E86B23"/>
    <w:rsid w:val="00E91B16"/>
    <w:rsid w:val="00EA427D"/>
    <w:rsid w:val="00EA48CA"/>
    <w:rsid w:val="00EC3C61"/>
    <w:rsid w:val="00EC5FE9"/>
    <w:rsid w:val="00EC6EEF"/>
    <w:rsid w:val="00EC7FF4"/>
    <w:rsid w:val="00EE4204"/>
    <w:rsid w:val="00EF0394"/>
    <w:rsid w:val="00F27816"/>
    <w:rsid w:val="00F35DC3"/>
    <w:rsid w:val="00F404F4"/>
    <w:rsid w:val="00F439F0"/>
    <w:rsid w:val="00F46658"/>
    <w:rsid w:val="00F5279A"/>
    <w:rsid w:val="00F5284E"/>
    <w:rsid w:val="00F60987"/>
    <w:rsid w:val="00F65479"/>
    <w:rsid w:val="00F662CC"/>
    <w:rsid w:val="00F84683"/>
    <w:rsid w:val="00F92594"/>
    <w:rsid w:val="00F964CA"/>
    <w:rsid w:val="00FA2812"/>
    <w:rsid w:val="00FB2DBD"/>
    <w:rsid w:val="00FC31F8"/>
    <w:rsid w:val="00FC4B1B"/>
    <w:rsid w:val="00FD1774"/>
    <w:rsid w:val="00FE03E7"/>
    <w:rsid w:val="00FF0205"/>
    <w:rsid w:val="00FF0238"/>
    <w:rsid w:val="00FF0D54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B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FCE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5FCE"/>
    <w:pPr>
      <w:keepNext/>
      <w:jc w:val="both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25FCE"/>
    <w:rPr>
      <w:b/>
      <w:sz w:val="24"/>
    </w:rPr>
  </w:style>
  <w:style w:type="character" w:customStyle="1" w:styleId="Ttulo2Char">
    <w:name w:val="Título 2 Char"/>
    <w:basedOn w:val="Fontepargpadro"/>
    <w:link w:val="Ttulo2"/>
    <w:semiHidden/>
    <w:rsid w:val="00A25FCE"/>
    <w:rPr>
      <w:b/>
      <w:i/>
      <w:sz w:val="24"/>
    </w:rPr>
  </w:style>
  <w:style w:type="character" w:customStyle="1" w:styleId="CabealhoChar">
    <w:name w:val="Cabeçalho Char"/>
    <w:basedOn w:val="Fontepargpadro"/>
    <w:link w:val="Cabealho"/>
    <w:rsid w:val="008B0E9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B0E97"/>
    <w:pPr>
      <w:ind w:left="3969"/>
      <w:jc w:val="both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E97"/>
    <w:rPr>
      <w:rFonts w:ascii="Bookman Old Style" w:hAnsi="Bookman Old Style"/>
      <w:sz w:val="22"/>
    </w:rPr>
  </w:style>
  <w:style w:type="paragraph" w:customStyle="1" w:styleId="Default">
    <w:name w:val="Default"/>
    <w:rsid w:val="00B56E6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nhideWhenUsed/>
    <w:rsid w:val="00B56E68"/>
    <w:pPr>
      <w:spacing w:before="100" w:beforeAutospacing="1" w:after="100" w:afterAutospacing="1"/>
    </w:pPr>
  </w:style>
  <w:style w:type="character" w:customStyle="1" w:styleId="textexposedshow">
    <w:name w:val="text_exposed_show"/>
    <w:basedOn w:val="Fontepargpadro"/>
    <w:rsid w:val="0028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6228-37BA-44F1-9C95-EA21A4A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aguinaldo.telles</cp:lastModifiedBy>
  <cp:revision>13</cp:revision>
  <cp:lastPrinted>2015-10-29T12:20:00Z</cp:lastPrinted>
  <dcterms:created xsi:type="dcterms:W3CDTF">2015-10-28T21:18:00Z</dcterms:created>
  <dcterms:modified xsi:type="dcterms:W3CDTF">2015-10-29T12:22:00Z</dcterms:modified>
</cp:coreProperties>
</file>